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BD97" w14:textId="77777777" w:rsidR="00E94D36" w:rsidRPr="00E57FA5" w:rsidRDefault="00E94D36" w:rsidP="00E57FA5">
      <w:pPr>
        <w:pStyle w:val="Nagwek1"/>
        <w:spacing w:before="480"/>
        <w:jc w:val="center"/>
        <w:rPr>
          <w:rFonts w:eastAsia="Calibri Light"/>
          <w:color w:val="auto"/>
          <w:sz w:val="24"/>
          <w:szCs w:val="24"/>
        </w:rPr>
      </w:pPr>
      <w:r w:rsidRPr="00E57FA5">
        <w:rPr>
          <w:rFonts w:eastAsia="Calibri Light"/>
          <w:color w:val="auto"/>
          <w:sz w:val="24"/>
          <w:szCs w:val="24"/>
        </w:rPr>
        <w:t>Klauzula informacyjna</w:t>
      </w:r>
    </w:p>
    <w:p w14:paraId="158B0B7F" w14:textId="11B71BE4" w:rsidR="00E94D36" w:rsidRPr="00325E8B" w:rsidRDefault="00E94D36" w:rsidP="00E57FA5">
      <w:pPr>
        <w:spacing w:before="480"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(FEnIKS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 xml:space="preserve">programem Fundusze Europejskie na Infrastrukturę, Klimat, Środowisko 2021-2027 (FEnIKS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5C2613C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będziemy przetwarzać w związku z realizacją FEnIKS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 naboru projektów w ramach działania </w:t>
      </w:r>
      <w:r w:rsidR="005C1C69" w:rsidRPr="005C1C69">
        <w:rPr>
          <w:rFonts w:eastAsia="Calibri Light" w:cstheme="minorHAnsi"/>
          <w:color w:val="000000"/>
          <w:shd w:val="clear" w:color="auto" w:fill="FFFFFF"/>
        </w:rPr>
        <w:t>FENX.02.04 Adaptacja do zmian klimatu, zapobieganie klęskom i katastrofom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dotyczące wizerunku i głosu osób uczestniczących w realizacji FEnIKS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innym podmiotom, w tym ekspertom o których mowa w art. 80 ustawy wdrożeniowej, którym zleciliśmy wykonywanie zadań w FEnIKS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Instytucji Audytowej, o której mowa w art. 71 rozporządzenia 2021/1060 z 24 czerwca 2021 r. którą w przypadku FEnIKS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instytucjom Unii Europejskiej (UE) lub podmiotom, którym UE powierzyła zadania dotyczące wdrażania FEnIKS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>de minimis</w:t>
      </w:r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1. IOD MFiPR: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2. IOD MKiŚ: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E39A" w14:textId="77777777" w:rsidR="00347254" w:rsidRDefault="00347254" w:rsidP="004A3C67">
      <w:pPr>
        <w:spacing w:after="0" w:line="240" w:lineRule="auto"/>
      </w:pPr>
      <w:r>
        <w:separator/>
      </w:r>
    </w:p>
  </w:endnote>
  <w:endnote w:type="continuationSeparator" w:id="0">
    <w:p w14:paraId="1D57D28C" w14:textId="77777777" w:rsidR="00347254" w:rsidRDefault="0034725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01799" w14:textId="77777777" w:rsidR="00E57FA5" w:rsidRDefault="00E57F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64B998DA" w:rsidR="004A3C67" w:rsidRPr="005B7CE8" w:rsidRDefault="005B7CE8" w:rsidP="00817E51">
    <w:pPr>
      <w:tabs>
        <w:tab w:val="left" w:pos="7230"/>
      </w:tabs>
      <w:ind w:left="1418" w:firstLine="4963"/>
    </w:pP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86DD" w14:textId="77777777" w:rsidR="00E57FA5" w:rsidRDefault="00E57F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348AA" w14:textId="77777777" w:rsidR="00347254" w:rsidRDefault="00347254" w:rsidP="004A3C67">
      <w:pPr>
        <w:spacing w:after="0" w:line="240" w:lineRule="auto"/>
      </w:pPr>
      <w:r>
        <w:separator/>
      </w:r>
    </w:p>
  </w:footnote>
  <w:footnote w:type="continuationSeparator" w:id="0">
    <w:p w14:paraId="3F737476" w14:textId="77777777" w:rsidR="00347254" w:rsidRDefault="00347254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83F36" w14:textId="77777777" w:rsidR="00E57FA5" w:rsidRDefault="00E57F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863B6" w14:textId="36E79318" w:rsidR="00BD4F80" w:rsidRPr="00E57FA5" w:rsidRDefault="004425D0" w:rsidP="004425D0">
    <w:pPr>
      <w:spacing w:after="120" w:line="240" w:lineRule="auto"/>
      <w:rPr>
        <w:rFonts w:eastAsia="Calibri" w:cstheme="minorHAnsi"/>
      </w:rPr>
    </w:pPr>
    <w:r w:rsidRPr="00E57FA5">
      <w:rPr>
        <w:rFonts w:cstheme="minorHAnsi"/>
        <w:color w:val="000000"/>
      </w:rPr>
      <w:t>Załącznik</w:t>
    </w:r>
    <w:r w:rsidR="00A95519" w:rsidRPr="00E57FA5">
      <w:rPr>
        <w:rFonts w:cstheme="minorHAnsi"/>
        <w:color w:val="000000"/>
      </w:rPr>
      <w:t xml:space="preserve"> 12</w:t>
    </w:r>
    <w:r w:rsidRPr="00E57FA5">
      <w:rPr>
        <w:rFonts w:cstheme="minorHAnsi"/>
        <w:color w:val="000000"/>
      </w:rPr>
      <w:t xml:space="preserve"> </w:t>
    </w:r>
    <w:r w:rsidR="00325E8B" w:rsidRPr="00E57FA5">
      <w:rPr>
        <w:rFonts w:cstheme="minorHAnsi"/>
        <w:color w:val="000000"/>
      </w:rPr>
      <w:t>- Klauzula informacyjna RODO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AFDC" w14:textId="77777777" w:rsidR="00E57FA5" w:rsidRDefault="00E57F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0517108">
    <w:abstractNumId w:val="4"/>
  </w:num>
  <w:num w:numId="2" w16cid:durableId="1103844595">
    <w:abstractNumId w:val="14"/>
  </w:num>
  <w:num w:numId="3" w16cid:durableId="497355606">
    <w:abstractNumId w:val="16"/>
  </w:num>
  <w:num w:numId="4" w16cid:durableId="119288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479270">
    <w:abstractNumId w:val="0"/>
  </w:num>
  <w:num w:numId="6" w16cid:durableId="626203351">
    <w:abstractNumId w:val="10"/>
  </w:num>
  <w:num w:numId="7" w16cid:durableId="314647836">
    <w:abstractNumId w:val="8"/>
  </w:num>
  <w:num w:numId="8" w16cid:durableId="1263537500">
    <w:abstractNumId w:val="1"/>
  </w:num>
  <w:num w:numId="9" w16cid:durableId="1917662649">
    <w:abstractNumId w:val="9"/>
  </w:num>
  <w:num w:numId="10" w16cid:durableId="1655143033">
    <w:abstractNumId w:val="12"/>
  </w:num>
  <w:num w:numId="11" w16cid:durableId="903099005">
    <w:abstractNumId w:val="21"/>
  </w:num>
  <w:num w:numId="12" w16cid:durableId="154299207">
    <w:abstractNumId w:val="13"/>
  </w:num>
  <w:num w:numId="13" w16cid:durableId="1650742015">
    <w:abstractNumId w:val="3"/>
  </w:num>
  <w:num w:numId="14" w16cid:durableId="2049917322">
    <w:abstractNumId w:val="23"/>
  </w:num>
  <w:num w:numId="15" w16cid:durableId="461464721">
    <w:abstractNumId w:val="7"/>
  </w:num>
  <w:num w:numId="16" w16cid:durableId="765002841">
    <w:abstractNumId w:val="19"/>
  </w:num>
  <w:num w:numId="17" w16cid:durableId="16396834">
    <w:abstractNumId w:val="18"/>
  </w:num>
  <w:num w:numId="18" w16cid:durableId="43406817">
    <w:abstractNumId w:val="2"/>
  </w:num>
  <w:num w:numId="19" w16cid:durableId="1066956657">
    <w:abstractNumId w:val="15"/>
  </w:num>
  <w:num w:numId="20" w16cid:durableId="1598515823">
    <w:abstractNumId w:val="22"/>
  </w:num>
  <w:num w:numId="21" w16cid:durableId="1547913385">
    <w:abstractNumId w:val="20"/>
  </w:num>
  <w:num w:numId="22" w16cid:durableId="368922655">
    <w:abstractNumId w:val="6"/>
  </w:num>
  <w:num w:numId="23" w16cid:durableId="1560827849">
    <w:abstractNumId w:val="11"/>
  </w:num>
  <w:num w:numId="24" w16cid:durableId="2016031693">
    <w:abstractNumId w:val="17"/>
  </w:num>
  <w:num w:numId="25" w16cid:durableId="7917056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A2D4B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47254"/>
    <w:rsid w:val="0035749E"/>
    <w:rsid w:val="003616CC"/>
    <w:rsid w:val="00364E85"/>
    <w:rsid w:val="00377F60"/>
    <w:rsid w:val="00383A77"/>
    <w:rsid w:val="00392D19"/>
    <w:rsid w:val="00394695"/>
    <w:rsid w:val="003A7EAA"/>
    <w:rsid w:val="003B11E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06175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C1C69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B357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02C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81104"/>
    <w:rsid w:val="00A91DFA"/>
    <w:rsid w:val="00A95519"/>
    <w:rsid w:val="00A97F4A"/>
    <w:rsid w:val="00AA0448"/>
    <w:rsid w:val="00AA55DE"/>
    <w:rsid w:val="00AB7FB7"/>
    <w:rsid w:val="00AC1B2B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611FD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57FA5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03E5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D953F-2597-43E2-A13B-D42E24BF08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documentManagement/types"/>
    <ds:schemaRef ds:uri="http://purl.org/dc/dcmitype/"/>
    <ds:schemaRef ds:uri="6a5fa91f-a078-47c2-83e4-2d82b9ce4700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2ee527c7-cf88-4923-94f8-31179f323eb0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creator>mpietras</dc:creator>
  <cp:lastModifiedBy>Maliszewski Bartłomiej</cp:lastModifiedBy>
  <cp:revision>5</cp:revision>
  <cp:lastPrinted>2018-09-06T06:55:00Z</cp:lastPrinted>
  <dcterms:created xsi:type="dcterms:W3CDTF">2024-10-14T09:55:00Z</dcterms:created>
  <dcterms:modified xsi:type="dcterms:W3CDTF">2025-09-24T05:07:00Z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